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E8034" w14:textId="77777777" w:rsidR="00E327F0" w:rsidRPr="00075CE6" w:rsidRDefault="00E327F0" w:rsidP="00E327F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39069C" w14:textId="77777777" w:rsidR="00E327F0" w:rsidRPr="00075CE6" w:rsidRDefault="00E327F0" w:rsidP="00E327F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7BF5F98" w14:textId="77777777" w:rsidR="00E327F0" w:rsidRPr="00075CE6" w:rsidRDefault="00E327F0" w:rsidP="00E327F0">
      <w:pPr>
        <w:ind w:hanging="142"/>
        <w:jc w:val="center"/>
        <w:rPr>
          <w:b/>
          <w:spacing w:val="40"/>
          <w:szCs w:val="26"/>
        </w:rPr>
      </w:pPr>
    </w:p>
    <w:p w14:paraId="33C32AA7" w14:textId="77777777" w:rsidR="00E327F0" w:rsidRPr="00075CE6" w:rsidRDefault="00E327F0" w:rsidP="00E327F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58288F" w:rsidRPr="00075CE6" w14:paraId="701F262E" w14:textId="77777777" w:rsidTr="009C71D9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A6E0DD" w14:textId="77777777" w:rsidR="0058288F" w:rsidRPr="00075CE6" w:rsidRDefault="0058288F" w:rsidP="009C71D9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180D452C" w14:textId="77777777" w:rsidR="0058288F" w:rsidRPr="00075CE6" w:rsidRDefault="0058288F" w:rsidP="009C71D9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0235604" w14:textId="77777777" w:rsidR="0058288F" w:rsidRPr="00075CE6" w:rsidRDefault="0058288F" w:rsidP="009C71D9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6A7B7A8" w14:textId="77777777" w:rsidR="0058288F" w:rsidRPr="00435879" w:rsidRDefault="0058288F" w:rsidP="009C71D9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B3DB0EE" w14:textId="77777777" w:rsidR="0058288F" w:rsidRPr="00435879" w:rsidRDefault="0058288F" w:rsidP="009C71D9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28B9488B" w14:textId="77777777" w:rsidR="0058288F" w:rsidRPr="00435879" w:rsidRDefault="0058288F" w:rsidP="009C71D9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6720CB2B" w14:textId="77777777" w:rsidR="0058288F" w:rsidRPr="00075CE6" w:rsidRDefault="0058288F" w:rsidP="009C71D9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2C1BBF38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503B96">
        <w:rPr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proofErr w:type="spellStart"/>
      <w:r w:rsidR="00503B96" w:rsidRPr="00503B96">
        <w:rPr>
          <w:color w:val="000000"/>
          <w:spacing w:val="-5"/>
          <w:sz w:val="28"/>
          <w:szCs w:val="28"/>
        </w:rPr>
        <w:t>Ревьюирование</w:t>
      </w:r>
      <w:proofErr w:type="spellEnd"/>
      <w:r w:rsidR="00503B96" w:rsidRPr="00503B96">
        <w:rPr>
          <w:color w:val="000000"/>
          <w:spacing w:val="-5"/>
          <w:sz w:val="28"/>
          <w:szCs w:val="28"/>
        </w:rPr>
        <w:t xml:space="preserve"> программных модулей</w:t>
      </w:r>
      <w:r w:rsidR="00872C38">
        <w:rPr>
          <w:color w:val="000000"/>
          <w:spacing w:val="-5"/>
          <w:sz w:val="24"/>
          <w:szCs w:val="24"/>
        </w:rPr>
        <w:t xml:space="preserve"> </w:t>
      </w:r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2EF5F22E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5387D5C2" w:rsidR="006F0570" w:rsidRPr="005A3D33" w:rsidRDefault="00E207A9" w:rsidP="004F0B73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32085CB8" w14:textId="77777777" w:rsidTr="003F7E23">
        <w:tc>
          <w:tcPr>
            <w:tcW w:w="704" w:type="dxa"/>
            <w:vAlign w:val="center"/>
          </w:tcPr>
          <w:p w14:paraId="50943ED6" w14:textId="77777777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8CB373D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Ознакомиться с организацией и подразделением объекта практики: миссия (цели и задачи) и профиль (специализация), этапы становления и развития организации, организационно-правовая форма и характер собственности, ассортимент продукции и (или) услуг, численность персонала, внешние и внутренние потребители продукции и услуг, масштабы деятельности, уровень специализации и диверсификации, основные технико-экономические показатели.</w:t>
            </w:r>
          </w:p>
          <w:p w14:paraId="07130F7B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Изучить основные принципы организации работы на предприятии. </w:t>
            </w:r>
          </w:p>
          <w:p w14:paraId="01459FE1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Ознакомиться со структурой и инфраструктурой организации, системой взаимоотношений между ее отдельными подразделениями, основными направлениями деятельности, отношениями с партнерами. </w:t>
            </w:r>
          </w:p>
          <w:p w14:paraId="67132512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Описать структуру предприятия, используя программу </w:t>
            </w:r>
            <w:proofErr w:type="spellStart"/>
            <w:r w:rsidRPr="00E207A9">
              <w:rPr>
                <w:color w:val="000000"/>
                <w:sz w:val="24"/>
                <w:szCs w:val="24"/>
              </w:rPr>
              <w:t>Visio</w:t>
            </w:r>
            <w:proofErr w:type="spellEnd"/>
            <w:r w:rsidRPr="00E207A9">
              <w:rPr>
                <w:color w:val="000000"/>
                <w:sz w:val="24"/>
                <w:szCs w:val="24"/>
              </w:rPr>
              <w:t>.</w:t>
            </w:r>
          </w:p>
          <w:p w14:paraId="6482156E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Изучить нормативную документацию предприятия. Изучить должностные инструкции инженерно-технических работников среднего звена в соответствии с подразделениями предприятия.</w:t>
            </w:r>
          </w:p>
          <w:p w14:paraId="0AFAD255" w14:textId="6D7D05DC" w:rsidR="00E207A9" w:rsidRPr="00E207A9" w:rsidRDefault="00E207A9" w:rsidP="00E207A9">
            <w:pPr>
              <w:ind w:firstLine="459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Ознакомиться с перечнем и конфигурацией средств вычислительной техники, архитектурой сети. Ознакомиться с перечнем и назначением программных средств, установленных на </w:t>
            </w:r>
            <w:r w:rsidRPr="00E207A9">
              <w:rPr>
                <w:color w:val="000000"/>
                <w:sz w:val="24"/>
                <w:szCs w:val="24"/>
              </w:rPr>
              <w:lastRenderedPageBreak/>
              <w:t>ПК предприятия.</w:t>
            </w:r>
          </w:p>
        </w:tc>
        <w:tc>
          <w:tcPr>
            <w:tcW w:w="1979" w:type="dxa"/>
            <w:vAlign w:val="center"/>
          </w:tcPr>
          <w:p w14:paraId="5363AD9E" w14:textId="0C989803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056AE26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Изучить уровень технического оснащения рабочих мест специалистов (наличие ПК, АРМ, локальной сети, электронной почты, Интернета, баз данных, сканеров, ксероксов, факсов и т.д.).</w:t>
            </w:r>
          </w:p>
          <w:p w14:paraId="4863D0EE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Ознакомиться с основными пакетами прикладных информационных программ, используемых в работе специалистов разных подразделений.</w:t>
            </w:r>
          </w:p>
          <w:p w14:paraId="6C247B23" w14:textId="38530E4E" w:rsidR="00E207A9" w:rsidRPr="00E207A9" w:rsidRDefault="00E207A9" w:rsidP="00E207A9">
            <w:pPr>
              <w:pStyle w:val="a3"/>
              <w:tabs>
                <w:tab w:val="left" w:pos="885"/>
              </w:tabs>
              <w:ind w:left="460"/>
              <w:jc w:val="both"/>
              <w:rPr>
                <w:sz w:val="24"/>
                <w:szCs w:val="24"/>
                <w:highlight w:val="yellow"/>
              </w:rPr>
            </w:pPr>
            <w:r w:rsidRPr="00E207A9">
              <w:rPr>
                <w:color w:val="000000"/>
                <w:sz w:val="24"/>
                <w:szCs w:val="24"/>
              </w:rPr>
              <w:t xml:space="preserve">Определить состав оборудования и программных средств разработки информационной системы. </w:t>
            </w:r>
          </w:p>
        </w:tc>
        <w:tc>
          <w:tcPr>
            <w:tcW w:w="1979" w:type="dxa"/>
            <w:vAlign w:val="center"/>
          </w:tcPr>
          <w:p w14:paraId="4E94DF88" w14:textId="550C5E44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229C55CE" w14:textId="77777777" w:rsidTr="003F7E23">
        <w:tc>
          <w:tcPr>
            <w:tcW w:w="704" w:type="dxa"/>
            <w:vAlign w:val="center"/>
          </w:tcPr>
          <w:p w14:paraId="60F24E3F" w14:textId="77777777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558A9FD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Получить профессиональные навыки по строительству архитектурной схемы организации, по использованию методов и критериев оценивания предметной области и методов определения стратегии развития бизнес-процессов организации.</w:t>
            </w:r>
          </w:p>
          <w:p w14:paraId="157E3F15" w14:textId="77777777" w:rsidR="00E207A9" w:rsidRPr="00E207A9" w:rsidRDefault="00E207A9" w:rsidP="00E207A9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E207A9">
              <w:rPr>
                <w:color w:val="000000"/>
                <w:sz w:val="24"/>
                <w:szCs w:val="24"/>
              </w:rPr>
              <w:t>Получить практический опыт:</w:t>
            </w:r>
          </w:p>
          <w:p w14:paraId="2746B8E2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создания и изучения возможностей </w:t>
            </w:r>
            <w:proofErr w:type="spellStart"/>
            <w:r w:rsidRPr="00E207A9">
              <w:rPr>
                <w:sz w:val="24"/>
                <w:szCs w:val="24"/>
              </w:rPr>
              <w:t>репозитория</w:t>
            </w:r>
            <w:proofErr w:type="spellEnd"/>
            <w:r w:rsidRPr="00E207A9">
              <w:rPr>
                <w:sz w:val="24"/>
                <w:szCs w:val="24"/>
              </w:rPr>
              <w:t xml:space="preserve"> проекта </w:t>
            </w:r>
          </w:p>
          <w:p w14:paraId="5F2F8F0A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экспорта настроек в командной среде </w:t>
            </w:r>
          </w:p>
          <w:p w14:paraId="3E8F63C6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проведения сравнительного анализа офисных пакетов </w:t>
            </w:r>
          </w:p>
          <w:p w14:paraId="1DF38769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проведения сравнительного анализа браузеров </w:t>
            </w:r>
          </w:p>
          <w:p w14:paraId="229E90E0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проведения сравнительного анализа средств просмотра видео </w:t>
            </w:r>
          </w:p>
          <w:p w14:paraId="3828B106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обратного проектирования алгоритма </w:t>
            </w:r>
          </w:p>
          <w:p w14:paraId="0C1C103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использования метрик программного </w:t>
            </w:r>
          </w:p>
          <w:p w14:paraId="2BA7E4E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проверки целостности программного кода </w:t>
            </w:r>
          </w:p>
          <w:p w14:paraId="63064019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проведения анализа потоков данных </w:t>
            </w:r>
          </w:p>
          <w:p w14:paraId="01D5DD6C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использования метрик стилистики </w:t>
            </w:r>
          </w:p>
          <w:p w14:paraId="049C1FA7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выполнения измерений характеристик кода в среде </w:t>
            </w:r>
            <w:proofErr w:type="spellStart"/>
            <w:r w:rsidRPr="00E207A9">
              <w:rPr>
                <w:sz w:val="24"/>
                <w:szCs w:val="24"/>
              </w:rPr>
              <w:t>VisualStudio</w:t>
            </w:r>
            <w:proofErr w:type="spellEnd"/>
            <w:r w:rsidRPr="00E207A9">
              <w:rPr>
                <w:sz w:val="24"/>
                <w:szCs w:val="24"/>
              </w:rPr>
              <w:t xml:space="preserve"> </w:t>
            </w:r>
          </w:p>
          <w:p w14:paraId="7A10D3E3" w14:textId="7476EB9C" w:rsidR="00E207A9" w:rsidRPr="00E207A9" w:rsidRDefault="00E207A9" w:rsidP="00E207A9">
            <w:pPr>
              <w:pStyle w:val="ConsPlusNormal"/>
              <w:tabs>
                <w:tab w:val="left" w:pos="854"/>
                <w:tab w:val="left" w:pos="908"/>
                <w:tab w:val="left" w:pos="1134"/>
              </w:tabs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7A9">
              <w:rPr>
                <w:rFonts w:ascii="Times New Roman" w:hAnsi="Times New Roman"/>
                <w:sz w:val="24"/>
                <w:szCs w:val="24"/>
              </w:rPr>
              <w:t xml:space="preserve">выполнения измерений характеристик кода в среде (например, </w:t>
            </w:r>
            <w:proofErr w:type="spellStart"/>
            <w:r w:rsidRPr="00E207A9">
              <w:rPr>
                <w:rFonts w:ascii="Times New Roman" w:hAnsi="Times New Roman"/>
                <w:sz w:val="24"/>
                <w:szCs w:val="24"/>
              </w:rPr>
              <w:t>Eclipse</w:t>
            </w:r>
            <w:proofErr w:type="spellEnd"/>
            <w:r w:rsidRPr="00E207A9">
              <w:rPr>
                <w:rFonts w:ascii="Times New Roman" w:hAnsi="Times New Roman"/>
                <w:sz w:val="24"/>
                <w:szCs w:val="24"/>
              </w:rPr>
              <w:t xml:space="preserve"> C/C++ и др.) </w:t>
            </w:r>
          </w:p>
        </w:tc>
        <w:tc>
          <w:tcPr>
            <w:tcW w:w="1979" w:type="dxa"/>
            <w:vAlign w:val="center"/>
          </w:tcPr>
          <w:p w14:paraId="729D964F" w14:textId="568932DD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649398DD" w14:textId="77777777" w:rsidTr="003F7E23">
        <w:tc>
          <w:tcPr>
            <w:tcW w:w="704" w:type="dxa"/>
            <w:vAlign w:val="center"/>
          </w:tcPr>
          <w:p w14:paraId="6294721C" w14:textId="15476298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139BB5F" w14:textId="77777777" w:rsidR="00E207A9" w:rsidRPr="00E207A9" w:rsidRDefault="00E207A9" w:rsidP="00E207A9">
            <w:pPr>
              <w:keepNext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>Описать:</w:t>
            </w:r>
          </w:p>
          <w:p w14:paraId="6ED5F1D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процедуру проведения сравнительного анализа офисных пакетов </w:t>
            </w:r>
          </w:p>
          <w:p w14:paraId="20ACC0F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процедуру проведения сравнительного анализа браузеров </w:t>
            </w:r>
          </w:p>
          <w:p w14:paraId="1E74A71E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 xml:space="preserve">процедуру проведения сравнительного анализа средств просмотра видео </w:t>
            </w:r>
          </w:p>
          <w:p w14:paraId="7C3BF160" w14:textId="77777777" w:rsidR="00E207A9" w:rsidRPr="00E207A9" w:rsidRDefault="00E207A9" w:rsidP="00E207A9">
            <w:pPr>
              <w:keepNext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>Проверить целостность программного кода</w:t>
            </w:r>
          </w:p>
          <w:p w14:paraId="22A7FB05" w14:textId="77777777" w:rsidR="00E207A9" w:rsidRPr="00E207A9" w:rsidRDefault="00E207A9" w:rsidP="00E207A9">
            <w:pPr>
              <w:keepNext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>Осуществить:</w:t>
            </w:r>
          </w:p>
          <w:p w14:paraId="2155AE22" w14:textId="77777777" w:rsidR="00E207A9" w:rsidRPr="00E207A9" w:rsidRDefault="00E207A9" w:rsidP="00E207A9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207A9">
              <w:rPr>
                <w:sz w:val="24"/>
                <w:szCs w:val="24"/>
              </w:rPr>
              <w:t>анализ потоков данных</w:t>
            </w:r>
          </w:p>
          <w:p w14:paraId="7DE10CF9" w14:textId="6F06147B" w:rsidR="00E207A9" w:rsidRPr="00E207A9" w:rsidRDefault="00E207A9" w:rsidP="00E207A9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207A9">
              <w:rPr>
                <w:rFonts w:ascii="Times New Roman" w:hAnsi="Times New Roman"/>
                <w:sz w:val="24"/>
                <w:szCs w:val="24"/>
              </w:rPr>
              <w:t>обратное проектирование алгоритма</w:t>
            </w:r>
          </w:p>
        </w:tc>
        <w:tc>
          <w:tcPr>
            <w:tcW w:w="1979" w:type="dxa"/>
            <w:vAlign w:val="center"/>
          </w:tcPr>
          <w:p w14:paraId="3DBBB175" w14:textId="68713228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  <w:tr w:rsidR="00E207A9" w:rsidRPr="005A3D33" w14:paraId="1E2F4B43" w14:textId="77777777" w:rsidTr="003F7E23">
        <w:tc>
          <w:tcPr>
            <w:tcW w:w="704" w:type="dxa"/>
            <w:vAlign w:val="center"/>
          </w:tcPr>
          <w:p w14:paraId="0D5C3B71" w14:textId="77777777" w:rsidR="00E207A9" w:rsidRPr="005A3D33" w:rsidRDefault="00E207A9" w:rsidP="00E207A9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117C95" w14:textId="574CB37C" w:rsidR="00E207A9" w:rsidRPr="00E207A9" w:rsidRDefault="00E207A9" w:rsidP="00E207A9">
            <w:pPr>
              <w:pStyle w:val="Default"/>
              <w:widowControl w:val="0"/>
              <w:ind w:firstLine="459"/>
              <w:jc w:val="both"/>
            </w:pPr>
            <w:r w:rsidRPr="00E207A9"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соответствующей форме.</w:t>
            </w:r>
          </w:p>
        </w:tc>
        <w:tc>
          <w:tcPr>
            <w:tcW w:w="1979" w:type="dxa"/>
            <w:vAlign w:val="center"/>
          </w:tcPr>
          <w:p w14:paraId="5EE54FB2" w14:textId="599E1B9F" w:rsidR="00E207A9" w:rsidRPr="00E207A9" w:rsidRDefault="00E207A9" w:rsidP="00E207A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A598" w14:textId="77777777" w:rsidR="000E35F2" w:rsidRDefault="000E35F2" w:rsidP="0062184F">
      <w:r>
        <w:separator/>
      </w:r>
    </w:p>
  </w:endnote>
  <w:endnote w:type="continuationSeparator" w:id="0">
    <w:p w14:paraId="3931D076" w14:textId="77777777" w:rsidR="000E35F2" w:rsidRDefault="000E35F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F3801" w14:textId="77777777" w:rsidR="000E35F2" w:rsidRDefault="000E35F2" w:rsidP="0062184F">
      <w:r>
        <w:separator/>
      </w:r>
    </w:p>
  </w:footnote>
  <w:footnote w:type="continuationSeparator" w:id="0">
    <w:p w14:paraId="3BD0C85A" w14:textId="77777777" w:rsidR="000E35F2" w:rsidRDefault="000E35F2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E35F2"/>
    <w:rsid w:val="000F4BBB"/>
    <w:rsid w:val="000F647C"/>
    <w:rsid w:val="0011059D"/>
    <w:rsid w:val="001503C3"/>
    <w:rsid w:val="00155312"/>
    <w:rsid w:val="00155C36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40260"/>
    <w:rsid w:val="0045497D"/>
    <w:rsid w:val="00465A4B"/>
    <w:rsid w:val="00467F02"/>
    <w:rsid w:val="00490586"/>
    <w:rsid w:val="004A69EF"/>
    <w:rsid w:val="004C00D4"/>
    <w:rsid w:val="004E41B4"/>
    <w:rsid w:val="004F0B73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8288F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8C24AD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E1E87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207A9"/>
    <w:rsid w:val="00E327F0"/>
    <w:rsid w:val="00E45F3B"/>
    <w:rsid w:val="00E52670"/>
    <w:rsid w:val="00E65615"/>
    <w:rsid w:val="00E67C6F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07A9"/>
    <w:pPr>
      <w:autoSpaceDE/>
      <w:autoSpaceDN/>
      <w:adjustRightInd/>
      <w:snapToGrid w:val="0"/>
      <w:jc w:val="center"/>
      <w:outlineLvl w:val="0"/>
    </w:pPr>
    <w:rPr>
      <w:rFonts w:eastAsia="Calibri"/>
      <w:b/>
      <w:i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10">
    <w:name w:val="Заголовок 1 Знак"/>
    <w:basedOn w:val="a0"/>
    <w:link w:val="1"/>
    <w:rsid w:val="00E207A9"/>
    <w:rPr>
      <w:rFonts w:ascii="Times New Roman" w:eastAsia="Calibri" w:hAnsi="Times New Roman" w:cs="Times New Roman"/>
      <w:b/>
      <w:iCs/>
      <w:sz w:val="28"/>
      <w:szCs w:val="28"/>
      <w:lang w:val="x-none" w:eastAsia="x-none"/>
    </w:rPr>
  </w:style>
  <w:style w:type="paragraph" w:customStyle="1" w:styleId="11">
    <w:name w:val="Текст1"/>
    <w:basedOn w:val="a"/>
    <w:rsid w:val="00E207A9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E3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88CDB-D58E-4EE1-B001-7750509F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4</cp:revision>
  <cp:lastPrinted>2020-12-02T12:31:00Z</cp:lastPrinted>
  <dcterms:created xsi:type="dcterms:W3CDTF">2023-03-02T06:33:00Z</dcterms:created>
  <dcterms:modified xsi:type="dcterms:W3CDTF">2025-10-28T13:55:00Z</dcterms:modified>
</cp:coreProperties>
</file>